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A5" w:rsidRDefault="008865A5" w:rsidP="00B50AD9">
      <w:pPr>
        <w:jc w:val="center"/>
        <w:rPr>
          <w:b/>
          <w:sz w:val="10"/>
          <w:szCs w:val="10"/>
        </w:rPr>
      </w:pPr>
    </w:p>
    <w:p w:rsidR="008865A5" w:rsidRDefault="008865A5" w:rsidP="008865A5">
      <w:pPr>
        <w:jc w:val="right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Приложение № 2 </w:t>
      </w:r>
    </w:p>
    <w:p w:rsidR="008865A5" w:rsidRDefault="008865A5" w:rsidP="008865A5">
      <w:pPr>
        <w:jc w:val="right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к приказ</w:t>
      </w:r>
      <w:r w:rsidR="00E0059E">
        <w:rPr>
          <w:b/>
          <w:sz w:val="10"/>
          <w:szCs w:val="10"/>
        </w:rPr>
        <w:t>у № «____» от ______________202</w:t>
      </w:r>
      <w:r w:rsidR="00D7597B">
        <w:rPr>
          <w:b/>
          <w:sz w:val="10"/>
          <w:szCs w:val="10"/>
        </w:rPr>
        <w:t xml:space="preserve">   </w:t>
      </w:r>
      <w:bookmarkStart w:id="0" w:name="_GoBack"/>
      <w:bookmarkEnd w:id="0"/>
      <w:r>
        <w:rPr>
          <w:b/>
          <w:sz w:val="10"/>
          <w:szCs w:val="10"/>
        </w:rPr>
        <w:t>г.</w:t>
      </w:r>
    </w:p>
    <w:p w:rsidR="008865A5" w:rsidRDefault="008865A5" w:rsidP="00B50AD9">
      <w:pPr>
        <w:jc w:val="center"/>
        <w:rPr>
          <w:b/>
          <w:sz w:val="10"/>
          <w:szCs w:val="10"/>
        </w:rPr>
      </w:pPr>
    </w:p>
    <w:p w:rsidR="00B50AD9" w:rsidRPr="00D51084" w:rsidRDefault="00B50AD9" w:rsidP="008865A5">
      <w:pPr>
        <w:jc w:val="center"/>
        <w:rPr>
          <w:b/>
          <w:sz w:val="10"/>
          <w:szCs w:val="10"/>
        </w:rPr>
      </w:pPr>
      <w:r w:rsidRPr="00D51084">
        <w:rPr>
          <w:b/>
          <w:sz w:val="10"/>
          <w:szCs w:val="10"/>
        </w:rPr>
        <w:t>ДОГОВОР НА ОКАЗАНИЕ УСЛУГ СВЯЗИ</w:t>
      </w:r>
    </w:p>
    <w:p w:rsidR="00B50AD9" w:rsidRPr="00D51084" w:rsidRDefault="00B50AD9" w:rsidP="00B50AD9">
      <w:pPr>
        <w:jc w:val="center"/>
        <w:rPr>
          <w:b/>
          <w:sz w:val="10"/>
          <w:szCs w:val="10"/>
        </w:rPr>
      </w:pPr>
      <w:r w:rsidRPr="00D51084">
        <w:rPr>
          <w:b/>
          <w:sz w:val="10"/>
          <w:szCs w:val="10"/>
        </w:rPr>
        <w:t xml:space="preserve">для физических лиц </w:t>
      </w:r>
    </w:p>
    <w:tbl>
      <w:tblPr>
        <w:tblW w:w="10370" w:type="dxa"/>
        <w:tblInd w:w="108" w:type="dxa"/>
        <w:tblLook w:val="0000" w:firstRow="0" w:lastRow="0" w:firstColumn="0" w:lastColumn="0" w:noHBand="0" w:noVBand="0"/>
      </w:tblPr>
      <w:tblGrid>
        <w:gridCol w:w="8452"/>
        <w:gridCol w:w="1918"/>
      </w:tblGrid>
      <w:tr w:rsidR="00B50AD9" w:rsidRPr="00D51084" w:rsidTr="00A05E58">
        <w:trPr>
          <w:trHeight w:val="182"/>
        </w:trPr>
        <w:tc>
          <w:tcPr>
            <w:tcW w:w="8016" w:type="dxa"/>
            <w:shd w:val="clear" w:color="auto" w:fill="FFFFFF"/>
            <w:noWrap/>
            <w:vAlign w:val="center"/>
          </w:tcPr>
          <w:tbl>
            <w:tblPr>
              <w:tblW w:w="10235" w:type="dxa"/>
              <w:tblLook w:val="04A0" w:firstRow="1" w:lastRow="0" w:firstColumn="1" w:lastColumn="0" w:noHBand="0" w:noVBand="1"/>
            </w:tblPr>
            <w:tblGrid>
              <w:gridCol w:w="5274"/>
              <w:gridCol w:w="4961"/>
            </w:tblGrid>
            <w:tr w:rsidR="00B50AD9" w:rsidRPr="00D51084" w:rsidTr="000F6993">
              <w:tc>
                <w:tcPr>
                  <w:tcW w:w="5274" w:type="dxa"/>
                </w:tcPr>
                <w:p w:rsidR="00B50AD9" w:rsidRPr="00D51084" w:rsidRDefault="00B50AD9" w:rsidP="000F6993">
                  <w:pPr>
                    <w:rPr>
                      <w:sz w:val="10"/>
                      <w:szCs w:val="10"/>
                    </w:rPr>
                  </w:pPr>
                  <w:bookmarkStart w:id="1" w:name="_Ref160346172"/>
                  <w:bookmarkEnd w:id="1"/>
                  <w:r w:rsidRPr="00D51084">
                    <w:rPr>
                      <w:sz w:val="10"/>
                      <w:szCs w:val="10"/>
                    </w:rPr>
                    <w:t xml:space="preserve">г. Астрахань,   </w:t>
                  </w:r>
                </w:p>
              </w:tc>
              <w:tc>
                <w:tcPr>
                  <w:tcW w:w="4961" w:type="dxa"/>
                </w:tcPr>
                <w:p w:rsidR="00B50AD9" w:rsidRPr="00D51084" w:rsidRDefault="00B50AD9" w:rsidP="00643683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B50AD9" w:rsidRPr="00D51084" w:rsidRDefault="00B50AD9" w:rsidP="000F6993">
            <w:pPr>
              <w:rPr>
                <w:b/>
                <w:sz w:val="10"/>
                <w:szCs w:val="10"/>
              </w:rPr>
            </w:pPr>
          </w:p>
        </w:tc>
        <w:tc>
          <w:tcPr>
            <w:tcW w:w="2354" w:type="dxa"/>
            <w:shd w:val="clear" w:color="auto" w:fill="FFFFFF"/>
            <w:noWrap/>
            <w:vAlign w:val="center"/>
          </w:tcPr>
          <w:p w:rsidR="00B50AD9" w:rsidRPr="00D51084" w:rsidRDefault="00B50AD9" w:rsidP="000F6993">
            <w:pPr>
              <w:ind w:right="-108"/>
              <w:jc w:val="right"/>
              <w:rPr>
                <w:sz w:val="10"/>
                <w:szCs w:val="10"/>
              </w:rPr>
            </w:pPr>
          </w:p>
        </w:tc>
      </w:tr>
    </w:tbl>
    <w:p w:rsidR="004400DF" w:rsidRPr="00D51084" w:rsidRDefault="004400DF" w:rsidP="004400DF">
      <w:pPr>
        <w:jc w:val="both"/>
        <w:rPr>
          <w:sz w:val="10"/>
          <w:szCs w:val="10"/>
        </w:rPr>
      </w:pPr>
      <w:r w:rsidRPr="00D51084">
        <w:rPr>
          <w:sz w:val="10"/>
          <w:szCs w:val="10"/>
        </w:rPr>
        <w:t>Закрытое акционерное общество «Астраханское цифровое телевидение»: ОГРН 1063017000606, ИНН 3017045365, КПП 302501001 Лицензии Федеральной службы по надзору в сфере связи</w:t>
      </w:r>
      <w:r w:rsidR="00690A4B" w:rsidRPr="00D51084">
        <w:rPr>
          <w:sz w:val="10"/>
          <w:szCs w:val="10"/>
        </w:rPr>
        <w:t>, информационных технологий и массовых коммуникаций</w:t>
      </w:r>
      <w:r w:rsidRPr="00D51084">
        <w:rPr>
          <w:sz w:val="10"/>
          <w:szCs w:val="10"/>
        </w:rPr>
        <w:t>:</w:t>
      </w:r>
    </w:p>
    <w:p w:rsidR="004400DF" w:rsidRPr="00D51084" w:rsidRDefault="00856CB6" w:rsidP="004400DF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>№150485 от 16” декабря 2016 г. срок действия с “09” марта 2017г.до “09” марта 2027г.</w:t>
      </w:r>
      <w:r w:rsidR="004400DF" w:rsidRPr="00D51084">
        <w:rPr>
          <w:sz w:val="10"/>
          <w:szCs w:val="10"/>
        </w:rPr>
        <w:t xml:space="preserve"> на оказание услуг связи для целей кабельного вещания</w:t>
      </w:r>
      <w:r w:rsidR="00690A4B" w:rsidRPr="00D51084">
        <w:rPr>
          <w:sz w:val="10"/>
          <w:szCs w:val="10"/>
        </w:rPr>
        <w:t xml:space="preserve">; </w:t>
      </w:r>
    </w:p>
    <w:p w:rsidR="00856CB6" w:rsidRPr="00856CB6" w:rsidRDefault="00856CB6" w:rsidP="00856CB6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>144991 от “20” июня 2016 г. срок действия с “30” августа 2016 г. до “30” августа 2026 г. на оказание услуг связи по передаче данных, за исключением услуг связи по передаче данных для целей передачи голосовой информации;</w:t>
      </w:r>
    </w:p>
    <w:p w:rsidR="00BC5294" w:rsidRPr="00D51084" w:rsidRDefault="00856CB6" w:rsidP="00856CB6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 xml:space="preserve">№185804 от 28.04.2021г. на оказание </w:t>
      </w:r>
      <w:proofErr w:type="spellStart"/>
      <w:r w:rsidRPr="00856CB6">
        <w:rPr>
          <w:sz w:val="10"/>
          <w:szCs w:val="10"/>
        </w:rPr>
        <w:t>телематических</w:t>
      </w:r>
      <w:proofErr w:type="spellEnd"/>
      <w:r w:rsidRPr="00856CB6">
        <w:rPr>
          <w:sz w:val="10"/>
          <w:szCs w:val="10"/>
        </w:rPr>
        <w:t xml:space="preserve"> услуг связи (срок действия  - до 8.04.2026г.)</w:t>
      </w:r>
    </w:p>
    <w:p w:rsidR="00B50AD9" w:rsidRPr="00D51084" w:rsidRDefault="00D7597B" w:rsidP="00D7597B">
      <w:pPr>
        <w:spacing w:line="264" w:lineRule="auto"/>
        <w:jc w:val="both"/>
        <w:rPr>
          <w:sz w:val="10"/>
          <w:szCs w:val="10"/>
        </w:rPr>
        <w:sectPr w:rsidR="00B50AD9" w:rsidRPr="00D51084" w:rsidSect="00F64CB7">
          <w:footerReference w:type="even" r:id="rId7"/>
          <w:footerReference w:type="default" r:id="rId8"/>
          <w:pgSz w:w="11906" w:h="16838"/>
          <w:pgMar w:top="289" w:right="567" w:bottom="357" w:left="1077" w:header="346" w:footer="511" w:gutter="0"/>
          <w:cols w:space="708"/>
          <w:docGrid w:linePitch="360"/>
        </w:sectPr>
      </w:pPr>
      <w:r w:rsidRPr="00D7597B">
        <w:rPr>
          <w:sz w:val="10"/>
          <w:szCs w:val="10"/>
        </w:rPr>
        <w:t>Юридический адрес: 414045 г. Астрахань ул. Моздокская д.65, помещение 67</w:t>
      </w:r>
      <w:r w:rsidRPr="00D7597B">
        <w:rPr>
          <w:sz w:val="10"/>
          <w:szCs w:val="10"/>
        </w:rPr>
        <w:t xml:space="preserve"> </w:t>
      </w:r>
      <w:r w:rsidRPr="00D7597B">
        <w:rPr>
          <w:sz w:val="10"/>
          <w:szCs w:val="10"/>
        </w:rPr>
        <w:t>Почтовый адрес: 414045 г. Астрахань ул. Моздокская д.65</w:t>
      </w:r>
      <w:r w:rsidRPr="00D7597B">
        <w:rPr>
          <w:sz w:val="10"/>
          <w:szCs w:val="10"/>
        </w:rPr>
        <w:t xml:space="preserve"> </w:t>
      </w:r>
      <w:r w:rsidR="004400DF" w:rsidRPr="00D7597B">
        <w:rPr>
          <w:sz w:val="10"/>
          <w:szCs w:val="10"/>
        </w:rPr>
        <w:t xml:space="preserve">Банковские реквизиты: </w:t>
      </w:r>
      <w:r w:rsidR="004400DF" w:rsidRPr="00D51084">
        <w:rPr>
          <w:sz w:val="10"/>
          <w:szCs w:val="10"/>
        </w:rPr>
        <w:t>р/с 40702810</w:t>
      </w:r>
      <w:r w:rsidR="0092032A" w:rsidRPr="00D51084">
        <w:rPr>
          <w:sz w:val="10"/>
          <w:szCs w:val="10"/>
        </w:rPr>
        <w:t>2</w:t>
      </w:r>
      <w:r w:rsidR="004400DF" w:rsidRPr="00D51084">
        <w:rPr>
          <w:sz w:val="10"/>
          <w:szCs w:val="10"/>
        </w:rPr>
        <w:t xml:space="preserve">10200011067 в филиале </w:t>
      </w:r>
      <w:r w:rsidR="0092032A" w:rsidRPr="00D51084">
        <w:rPr>
          <w:sz w:val="10"/>
          <w:szCs w:val="10"/>
        </w:rPr>
        <w:t xml:space="preserve">“ЦЕНТРАЛЬНЫЙ”Банка </w:t>
      </w:r>
      <w:r w:rsidR="00B4068C" w:rsidRPr="00D51084">
        <w:rPr>
          <w:sz w:val="10"/>
          <w:szCs w:val="10"/>
        </w:rPr>
        <w:t>ВТБ П</w:t>
      </w:r>
      <w:r w:rsidR="004400DF" w:rsidRPr="00D51084">
        <w:rPr>
          <w:sz w:val="10"/>
          <w:szCs w:val="10"/>
        </w:rPr>
        <w:t>АО г.</w:t>
      </w:r>
      <w:r w:rsidR="0092032A" w:rsidRPr="00D51084">
        <w:rPr>
          <w:sz w:val="10"/>
          <w:szCs w:val="10"/>
        </w:rPr>
        <w:t>Москва</w:t>
      </w:r>
      <w:r w:rsidR="004400DF" w:rsidRPr="00D51084">
        <w:rPr>
          <w:sz w:val="10"/>
          <w:szCs w:val="10"/>
        </w:rPr>
        <w:t xml:space="preserve">, к/с </w:t>
      </w:r>
      <w:r w:rsidR="0092032A" w:rsidRPr="00D51084">
        <w:rPr>
          <w:sz w:val="10"/>
          <w:szCs w:val="10"/>
        </w:rPr>
        <w:t>30101810145250000411</w:t>
      </w:r>
      <w:r w:rsidR="004400DF" w:rsidRPr="00D51084">
        <w:rPr>
          <w:sz w:val="10"/>
          <w:szCs w:val="10"/>
        </w:rPr>
        <w:t xml:space="preserve">, БИК  </w:t>
      </w:r>
      <w:r w:rsidR="0092032A" w:rsidRPr="00D51084">
        <w:rPr>
          <w:sz w:val="10"/>
          <w:szCs w:val="10"/>
        </w:rPr>
        <w:t>044525411</w:t>
      </w:r>
      <w:r w:rsidR="004400DF" w:rsidRPr="00D51084">
        <w:rPr>
          <w:sz w:val="10"/>
          <w:szCs w:val="10"/>
        </w:rPr>
        <w:t>Тел./факс: (8512) 48-00-</w:t>
      </w:r>
      <w:r w:rsidR="00B57BEC" w:rsidRPr="00D51084">
        <w:rPr>
          <w:sz w:val="10"/>
          <w:szCs w:val="10"/>
        </w:rPr>
        <w:t>10</w:t>
      </w:r>
      <w:r w:rsidR="004400DF" w:rsidRPr="00D51084">
        <w:rPr>
          <w:sz w:val="10"/>
          <w:szCs w:val="10"/>
        </w:rPr>
        <w:t>, 48-00-18</w:t>
      </w:r>
      <w:r w:rsidR="004400DF" w:rsidRPr="00D51084">
        <w:rPr>
          <w:kern w:val="1"/>
          <w:sz w:val="10"/>
          <w:szCs w:val="10"/>
        </w:rPr>
        <w:t>Абонент</w:t>
      </w:r>
      <w:r w:rsidR="00CC09D4" w:rsidRPr="00D51084">
        <w:rPr>
          <w:kern w:val="1"/>
          <w:sz w:val="10"/>
          <w:szCs w:val="10"/>
        </w:rPr>
        <w:t>ский отдел: 48-00-01</w:t>
      </w:r>
      <w:r w:rsidR="00303B1C" w:rsidRPr="00D51084">
        <w:rPr>
          <w:kern w:val="1"/>
          <w:sz w:val="10"/>
          <w:szCs w:val="10"/>
        </w:rPr>
        <w:t>.</w:t>
      </w:r>
      <w:r w:rsidR="004400DF" w:rsidRPr="00D51084">
        <w:rPr>
          <w:kern w:val="20"/>
          <w:sz w:val="10"/>
          <w:szCs w:val="10"/>
        </w:rPr>
        <w:t>Служба технической</w:t>
      </w:r>
      <w:r>
        <w:rPr>
          <w:kern w:val="20"/>
          <w:sz w:val="10"/>
          <w:szCs w:val="10"/>
        </w:rPr>
        <w:t xml:space="preserve"> </w:t>
      </w:r>
      <w:r w:rsidR="004400DF" w:rsidRPr="00D51084">
        <w:rPr>
          <w:kern w:val="1"/>
          <w:sz w:val="10"/>
          <w:szCs w:val="10"/>
        </w:rPr>
        <w:t>поддержки</w:t>
      </w:r>
      <w:r w:rsidR="004400DF" w:rsidRPr="00D51084">
        <w:rPr>
          <w:sz w:val="10"/>
          <w:szCs w:val="10"/>
        </w:rPr>
        <w:t xml:space="preserve"> предоставляется </w:t>
      </w:r>
      <w:r w:rsidR="004400DF" w:rsidRPr="00D51084">
        <w:rPr>
          <w:kern w:val="20"/>
          <w:sz w:val="10"/>
          <w:szCs w:val="10"/>
        </w:rPr>
        <w:t xml:space="preserve">по телефонам: 48-00-00 (круглосуточно), </w:t>
      </w:r>
      <w:r w:rsidR="00DE5FB8" w:rsidRPr="00D51084">
        <w:rPr>
          <w:sz w:val="10"/>
          <w:szCs w:val="10"/>
        </w:rPr>
        <w:t xml:space="preserve">в лице  генерального директора </w:t>
      </w:r>
      <w:proofErr w:type="spellStart"/>
      <w:r w:rsidR="00DE5FB8" w:rsidRPr="00D51084">
        <w:rPr>
          <w:sz w:val="10"/>
          <w:szCs w:val="10"/>
        </w:rPr>
        <w:t>Лампадова</w:t>
      </w:r>
      <w:proofErr w:type="spellEnd"/>
      <w:r w:rsidR="00DE5FB8" w:rsidRPr="00D51084">
        <w:rPr>
          <w:sz w:val="10"/>
          <w:szCs w:val="10"/>
        </w:rPr>
        <w:t xml:space="preserve"> Сергея Александровича, действующего на основании Устава</w:t>
      </w:r>
      <w:r w:rsidR="00E760E4" w:rsidRPr="00D51084">
        <w:rPr>
          <w:sz w:val="10"/>
          <w:szCs w:val="10"/>
        </w:rPr>
        <w:t>, именуемый</w:t>
      </w:r>
      <w:r w:rsidR="00B50AD9" w:rsidRPr="00D51084">
        <w:rPr>
          <w:sz w:val="10"/>
          <w:szCs w:val="10"/>
        </w:rPr>
        <w:t xml:space="preserve"> в дальнейшем Оператор, с одной стороны, и  </w:t>
      </w:r>
      <w:r w:rsidR="00B50AD9" w:rsidRPr="00D51084">
        <w:rPr>
          <w:b/>
          <w:sz w:val="10"/>
          <w:szCs w:val="10"/>
        </w:rPr>
        <w:t>«Абонент»</w:t>
      </w:r>
      <w:r w:rsidR="00B50AD9" w:rsidRPr="00D51084">
        <w:rPr>
          <w:sz w:val="10"/>
          <w:szCs w:val="10"/>
        </w:rPr>
        <w:t xml:space="preserve">, с другой стороны, далее при совместном упоминании именуемые </w:t>
      </w:r>
      <w:r w:rsidR="00B50AD9" w:rsidRPr="00D51084">
        <w:rPr>
          <w:b/>
          <w:sz w:val="10"/>
          <w:szCs w:val="10"/>
        </w:rPr>
        <w:t>«Стороны»</w:t>
      </w:r>
      <w:r w:rsidR="00B50AD9" w:rsidRPr="00D51084">
        <w:rPr>
          <w:sz w:val="10"/>
          <w:szCs w:val="10"/>
        </w:rPr>
        <w:t xml:space="preserve">, заключили настоящий договор (далее именуемый </w:t>
      </w:r>
      <w:r w:rsidR="00B50AD9" w:rsidRPr="00D51084">
        <w:rPr>
          <w:b/>
          <w:sz w:val="10"/>
          <w:szCs w:val="10"/>
        </w:rPr>
        <w:t>«Договор»</w:t>
      </w:r>
      <w:r w:rsidR="00B50AD9" w:rsidRPr="00D51084">
        <w:rPr>
          <w:sz w:val="10"/>
          <w:szCs w:val="10"/>
        </w:rPr>
        <w:t xml:space="preserve"> или </w:t>
      </w:r>
      <w:r w:rsidR="00B50AD9" w:rsidRPr="00D51084">
        <w:rPr>
          <w:b/>
          <w:sz w:val="10"/>
          <w:szCs w:val="10"/>
        </w:rPr>
        <w:t>«настоящий Договор»</w:t>
      </w:r>
      <w:r w:rsidR="00144D2B" w:rsidRPr="00D51084">
        <w:rPr>
          <w:sz w:val="10"/>
          <w:szCs w:val="10"/>
        </w:rPr>
        <w:t>).Договор заключается путем подписания бланка Договора Абонентом и Оператором в порядке</w:t>
      </w:r>
      <w:r w:rsidR="003B710B" w:rsidRPr="00D51084">
        <w:rPr>
          <w:sz w:val="10"/>
          <w:szCs w:val="10"/>
        </w:rPr>
        <w:t>ст.428</w:t>
      </w:r>
      <w:r w:rsidR="00144D2B" w:rsidRPr="00D51084">
        <w:rPr>
          <w:sz w:val="10"/>
          <w:szCs w:val="10"/>
        </w:rPr>
        <w:t>ГражданскогоКодексаРоссийскойФедерации.</w:t>
      </w:r>
    </w:p>
    <w:tbl>
      <w:tblPr>
        <w:tblStyle w:val="ad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561"/>
        <w:gridCol w:w="3924"/>
      </w:tblGrid>
      <w:tr w:rsidR="00B50AD9" w:rsidRPr="00D51084" w:rsidTr="00D51084">
        <w:tc>
          <w:tcPr>
            <w:tcW w:w="3572" w:type="dxa"/>
          </w:tcPr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Предмет Договора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1.1. Настоящий договор и Правила оказания услуг связи Закрытого акционерного общества «Астраханское цифровое телевидение» (далее – «Правила ЗАО «АЦТ») в совокупности представляют собой соглашение Сторон, устанавливающее, изменяющее или прекращающее их права и обязанности в отношении предоставляемых Оператором Абоненту услуг связи. 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1.2. Перечень заказанных Абонентом видов услуг (именуемых в дальнейшем - Услуги) определяется в </w:t>
            </w:r>
            <w:r w:rsidR="00104F96" w:rsidRPr="00D51084">
              <w:rPr>
                <w:sz w:val="10"/>
                <w:szCs w:val="10"/>
              </w:rPr>
              <w:t>Договоре (Приложение№1)</w:t>
            </w:r>
            <w:r w:rsidRPr="00D51084">
              <w:rPr>
                <w:sz w:val="10"/>
                <w:szCs w:val="10"/>
              </w:rPr>
              <w:t xml:space="preserve">, оформляемым </w:t>
            </w:r>
            <w:r w:rsidR="00104F96" w:rsidRPr="00D51084">
              <w:rPr>
                <w:sz w:val="10"/>
                <w:szCs w:val="10"/>
              </w:rPr>
              <w:t>в порядке ст. 428 ГК РФ</w:t>
            </w:r>
            <w:r w:rsidRPr="00D51084">
              <w:rPr>
                <w:sz w:val="10"/>
                <w:szCs w:val="10"/>
              </w:rPr>
              <w:t>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color w:val="000000"/>
                <w:sz w:val="10"/>
                <w:szCs w:val="10"/>
              </w:rPr>
            </w:pPr>
            <w:r w:rsidRPr="00D51084">
              <w:rPr>
                <w:color w:val="000000"/>
                <w:sz w:val="10"/>
                <w:szCs w:val="10"/>
              </w:rPr>
              <w:t>1.3. Настоящий Договор является единым для всех Абонентов и заключается на неопределенный срок.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color w:val="000000"/>
                <w:sz w:val="10"/>
                <w:szCs w:val="10"/>
              </w:rPr>
            </w:pP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Обязанности Оператора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2.1. Предоставлять Абоненту Услуги в соответствии с законодательством Российской Федерации, лицензиями,  Договором и приложениями к нему, Правилами ЗАО «АЦТ»: 24 (двадцать четыре) часа в сутки, ежедневно без перерывов, за исключением времени, необходимого для проведения профилактических и ремонтных работ.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2.2. Устранять в сроки, установленные Правилами ЗАО «АЦТ» неисправности, препятствующие пользованию услугами связи.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2.3. Осуществлять информационно-справочное обслуживание Абонентов.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2.4. Вести лицевые счета Абонента, на которых отражать поступление средств Оператору связи, а также списание этих средств в счет оплаты оказанных Абоненту услуг. Своевременно зачислять платежи Абонента на его Лицевой счет в соответствии с  порядком расчетов, определенным Правилами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2.5. Назначать по согласованию с Абонентом новый срок оказания услуг связи, если несоблюдение срока было обусловлено обстоятельствами непреодолимой силы.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2.6. Выполнять дополнительные обязательства, предусмотренные Правилами ЗАО «АЦТ».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Права Оператора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3.1. Изменять в одностороннем порядке тарифы и (или) тарифные планы для оплаты услуг связи, публикуя уведомления о таких изменениях на сайте Оператора (</w:t>
            </w:r>
            <w:hyperlink r:id="rId9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sz w:val="10"/>
                <w:szCs w:val="10"/>
              </w:rPr>
              <w:t>) не менее чем за 10 (десять) календарных дней до вступления изменений в силу.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3.2. Приостанавливать оказание услуг связи Абоненту в случае нарушения Абонентом требований (в том числе требований по оплате услуг), предусмотренных Договором, Правилами ЗАО «АЦТ», иными документами, являющимися неотъемлемой частью Договора, а также в случаях, установленных законодательством Российской Федерации.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3.3. Осуществлять ограничение отдельных действий Абонента, если такие действия создаю угрозу для нормального функционирования сети связи.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3.4. Поручить третьему лицу заключать Договор от имени Оператора, а также осуществлять расчеты с Абонентом от имени Оператора.</w:t>
            </w: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Обязанности Абонента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4.1 Выполнять требования, изложенные в настоящем Договоре, Приложениях к нему, Правилах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4.2.Поддерживать положительный Баланс Лицевого счета, оплачивая услуги Оператора в порядке и сроки, предусмотренные настоящим Договором и  Правилами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4.3. Содержать в исправном состоянии Абонентскую линию и оборудование, находящиеся в зоне ответственности Абонента. Не подключать к абонентской линии оборудование, которое не соответствует установленным требованиям</w:t>
            </w:r>
            <w:r w:rsidR="00C626AA" w:rsidRPr="00D51084">
              <w:rPr>
                <w:sz w:val="10"/>
                <w:szCs w:val="10"/>
              </w:rPr>
              <w:t xml:space="preserve"> законодательства</w:t>
            </w:r>
            <w:r w:rsidRPr="00D51084">
              <w:rPr>
                <w:sz w:val="10"/>
                <w:szCs w:val="10"/>
              </w:rPr>
              <w:t>. Соблюдать правила эксплуатации оборудования.</w:t>
            </w:r>
          </w:p>
          <w:p w:rsidR="00803EB1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4.4. Обеспечивать доступ специалистов Оператора в помещение, к месту размещения оборудования Абонента, для проведения работ по подключению к Услуге, а также в случае проведения регламентных или ремонтных работ, а также работ, связанных с модернизацией сети.</w:t>
            </w:r>
          </w:p>
          <w:p w:rsidR="004400DF" w:rsidRPr="00D51084" w:rsidRDefault="00803EB1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4.4.1 Информировать Оператора о способе прокладки кабеля в пом</w:t>
            </w:r>
            <w:r w:rsidR="00D426CE" w:rsidRPr="00D51084">
              <w:rPr>
                <w:sz w:val="10"/>
                <w:szCs w:val="10"/>
              </w:rPr>
              <w:t xml:space="preserve">ещении Абонента, информировать </w:t>
            </w:r>
            <w:proofErr w:type="spellStart"/>
            <w:r w:rsidR="00D426CE" w:rsidRPr="00D51084">
              <w:rPr>
                <w:sz w:val="10"/>
                <w:szCs w:val="10"/>
              </w:rPr>
              <w:t>и</w:t>
            </w:r>
            <w:r w:rsidRPr="00D51084">
              <w:rPr>
                <w:color w:val="000000" w:themeColor="text1"/>
                <w:sz w:val="10"/>
                <w:szCs w:val="10"/>
              </w:rPr>
              <w:t>представлять</w:t>
            </w:r>
            <w:proofErr w:type="spellEnd"/>
            <w:r w:rsidRPr="00D51084">
              <w:rPr>
                <w:color w:val="000000" w:themeColor="text1"/>
                <w:sz w:val="10"/>
                <w:szCs w:val="10"/>
              </w:rPr>
              <w:t xml:space="preserve"> специалисту Оператора информацию о местах крепления коробов или прокладки кабеля. При этом Оператор не несет ответственности перед Абонентом в случае нарушения функционирования систем жизнедеятельности и коммуникаций в помещении Абонента.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4.5. Предоставлять за свой счет соответствующее пользовательское (оконечное оборудование), обеспечивать наличие в помещении Абонента абонентской распределительной системы, если предоставление оборудования и монтаж абонентской распределительной системы Оператором предварительно не будет согласовано Сторонами. 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4.6. В случае наличия претензий к качеству предоставляемых услуг или обнаружения неисправности, незамедлительно сообщить об этом Оператору связи посредством телефонной связи или в письменной форме в одном из мест работы с абонентами, указав характер неисправности. В противном случае Оператор связи не несет ответственности за качество предоставляемых Услуг.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4.7. Сообщать Оператору в срок не превышающий 60 </w:t>
            </w:r>
            <w:proofErr w:type="gramStart"/>
            <w:r w:rsidRPr="00D51084">
              <w:rPr>
                <w:sz w:val="10"/>
                <w:szCs w:val="10"/>
              </w:rPr>
              <w:t>дней  о</w:t>
            </w:r>
            <w:proofErr w:type="gramEnd"/>
            <w:r w:rsidRPr="00D51084">
              <w:rPr>
                <w:sz w:val="10"/>
                <w:szCs w:val="10"/>
              </w:rPr>
              <w:t xml:space="preserve"> прекращении своего права владения и (или) пользования помещением, расположенным по адресу предоставления Услуги, а также об изменении данных Абонента, а именно фамилии, имени, отчества и места жительства.</w:t>
            </w: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4.8. Абонент обязуется не использовать Услуги связи Оператора для организации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 коллективного доступа без идентификации пользователей. В связи с возможностью наступления административной ответственности за оказание услуг связи в отсутствие идентификации, Оператор, предварительно уведомив Абонента с предоставлением срока устранения нарушений, вправе приостановить оказание Услуг связи до момента закрытия Абонентом указанной в предыдущем предложении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зоны. Абонент несет самостоятельную ответственность перед контролирующими органами за организацию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 коллективного доступа без идентификации пользователей.</w:t>
            </w: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</w:p>
          <w:p w:rsidR="00B50AD9" w:rsidRPr="00D51084" w:rsidRDefault="00B50AD9" w:rsidP="00D679F7">
            <w:pPr>
              <w:tabs>
                <w:tab w:val="num" w:pos="284"/>
                <w:tab w:val="num" w:pos="1080"/>
              </w:tabs>
              <w:ind w:left="284"/>
              <w:jc w:val="both"/>
              <w:rPr>
                <w:sz w:val="10"/>
                <w:szCs w:val="10"/>
              </w:rPr>
            </w:pPr>
          </w:p>
        </w:tc>
        <w:tc>
          <w:tcPr>
            <w:tcW w:w="3561" w:type="dxa"/>
          </w:tcPr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Права  Абонента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5.1. Отказаться от оплаты непредусмотренных Договором Услуг, предоставленных ему без его согласия.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5.2. Изменить перечень услуг и (или) тарифный план на услуги в порядке, установленном Правилами ЗАО «АЦТ».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5.3. Требовать возврата средств, </w:t>
            </w:r>
            <w:r w:rsidR="00F83470" w:rsidRPr="00D51084">
              <w:rPr>
                <w:sz w:val="10"/>
                <w:szCs w:val="10"/>
              </w:rPr>
              <w:t>в порядке</w:t>
            </w:r>
            <w:r w:rsidR="009674A0" w:rsidRPr="00D51084">
              <w:rPr>
                <w:sz w:val="10"/>
                <w:szCs w:val="10"/>
              </w:rPr>
              <w:t>,</w:t>
            </w:r>
            <w:r w:rsidR="00F83470" w:rsidRPr="00D51084">
              <w:rPr>
                <w:sz w:val="10"/>
                <w:szCs w:val="10"/>
              </w:rPr>
              <w:t xml:space="preserve"> предусмотренном Правилами ЗАО «АЦТ»</w:t>
            </w:r>
            <w:r w:rsidRPr="00D51084">
              <w:rPr>
                <w:sz w:val="10"/>
                <w:szCs w:val="10"/>
              </w:rPr>
              <w:t>.</w:t>
            </w:r>
          </w:p>
          <w:p w:rsidR="00F83470" w:rsidRPr="00D51084" w:rsidRDefault="00F83470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5.4.Абонент вправе получать счет за оказанные услуг</w:t>
            </w:r>
            <w:r w:rsidR="00B45937" w:rsidRPr="00D51084">
              <w:rPr>
                <w:sz w:val="10"/>
                <w:szCs w:val="10"/>
              </w:rPr>
              <w:t>и в офисе Оператора. Неполучение Абонентом счета не освобождает его от обязательств по оплате Услуг.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Стоимость Услуг и порядок расчетов</w:t>
            </w:r>
          </w:p>
          <w:p w:rsidR="004400DF" w:rsidRPr="00D51084" w:rsidRDefault="004400DF" w:rsidP="000965A8">
            <w:pPr>
              <w:widowControl w:val="0"/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    6.1. Оплата Услуг осуществляется путем наличного или безналичного расчета в российских рублях в соответствии с утвержденными Тарифами  на предоставляемые услуги (размещены на сайте компании - </w:t>
            </w:r>
            <w:hyperlink r:id="rId10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 и в местах работы с абонентами)</w:t>
            </w:r>
            <w:r w:rsidRPr="00D51084">
              <w:rPr>
                <w:sz w:val="10"/>
                <w:szCs w:val="10"/>
              </w:rPr>
              <w:t xml:space="preserve"> в порядке, преду</w:t>
            </w:r>
            <w:r w:rsidR="00B45937" w:rsidRPr="00D51084">
              <w:rPr>
                <w:sz w:val="10"/>
                <w:szCs w:val="10"/>
              </w:rPr>
              <w:t>смотренном Правилами ЗАО «АЦТ».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6.2. Стоимость оказания услуги, система оплаты услуги, срок и порядок оплаты услуги определяется в Правилах ЗАО «АЦТ» и Тарифах Оператора.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6.3. Выбранный тарифный план и перечень заказанных Абонентом Услуг, указываются в Заказе к Договору.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6.4. Дата начала предоставления Услуг Оператором Абоненту согласовывается Сторонами  и указывается в Заказе к Договору.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clear" w:pos="360"/>
                <w:tab w:val="num" w:pos="91"/>
                <w:tab w:val="num" w:pos="540"/>
                <w:tab w:val="num" w:pos="1134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6.5. Все поступившие от Абонента платежи зачисляются на Лицевой счет Абонента. Моментом оплаты считается поступление денежных средств на Лицевой счет Абонента. 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6.6. Абонент самостоятельно несет ответственность за правильность производимых им платежей. Если платеж совершен по неправильным или устаревшим реквизитам, а также не содержит информации необходимой для идентификации Абонента (номер лицевого счета, адрес, ФИО), то своевременное зачисление оплаты на лицевой счет Абонента не гарантируется.</w:t>
            </w:r>
          </w:p>
          <w:p w:rsidR="004400DF" w:rsidRPr="00D51084" w:rsidRDefault="004400DF" w:rsidP="000965A8">
            <w:pPr>
              <w:tabs>
                <w:tab w:val="num" w:pos="91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6.7. Данные о состоянии своего Лицевого счета и оказанных Абоненту Услугах Абонент может узнать в местах работы с абонентами  либо на сайте компании - </w:t>
            </w:r>
            <w:hyperlink r:id="rId11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</w:t>
            </w:r>
          </w:p>
          <w:p w:rsidR="004400DF" w:rsidRPr="00D51084" w:rsidRDefault="004400DF" w:rsidP="000965A8">
            <w:pPr>
              <w:tabs>
                <w:tab w:val="num" w:pos="91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6.8. Расчеты между Оператором и Абонентом, связанные с оплатой дополнительных работ по обслуживанию абонентов осуществляются на основе утвержденных Тарифов, размещенных на сайте компании </w:t>
            </w:r>
            <w:hyperlink r:id="rId12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 и в местах работы с абонентами.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Ответственность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сторон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7.1. Оператор несёт ответственность за выполнение своих обязательств по настоящему Договору в соответствии с законодательством Российской Федерации.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7.2. За нарушение сроков обеспечения доступа к сети связи, Абонент-гражданин вправе требовать от Оператора уплату неустойки в размере 3 процентов платы за предоставление доступа к сети за каждый день просрочки вплоть до начала обеспечения доступа к сети, но не более размера предусмотренной Договором платы за предоставление доступа к сети.</w:t>
            </w:r>
          </w:p>
          <w:p w:rsidR="004400DF" w:rsidRPr="00D51084" w:rsidRDefault="004400DF" w:rsidP="000965A8">
            <w:pPr>
              <w:tabs>
                <w:tab w:val="num" w:pos="91"/>
                <w:tab w:val="num" w:pos="1440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7.3. Абонент вправе потребовать возврата на Лицевой счет средств, списанных с Лицевого счета за период, когда отсутствовала возможность воспользоваться такими Услугами по вине Оператора.</w:t>
            </w:r>
          </w:p>
          <w:p w:rsidR="004400DF" w:rsidRPr="00D51084" w:rsidRDefault="004400DF" w:rsidP="000965A8">
            <w:pPr>
              <w:tabs>
                <w:tab w:val="num" w:pos="91"/>
                <w:tab w:val="num" w:pos="1440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7.4. В случае неоплаты, неполной или несвоевременной оплаты услуг связи Абонент, по требованию Оператора, уплачивает Оператору неустойку в размере 1 процента стоимости неоплаченных, оплаченных в неполном объеме или несвоевременно оплаченных услуг связи </w:t>
            </w:r>
            <w:r w:rsidRPr="00D51084">
              <w:rPr>
                <w:bCs/>
                <w:sz w:val="10"/>
                <w:szCs w:val="10"/>
              </w:rPr>
              <w:t>за каждый день просрочки вплоть до дня погашения задолженности</w:t>
            </w:r>
            <w:r w:rsidRPr="00D51084">
              <w:rPr>
                <w:sz w:val="10"/>
                <w:szCs w:val="10"/>
              </w:rPr>
              <w:t>, но не более суммы, подлежащей оплате.</w:t>
            </w:r>
          </w:p>
          <w:p w:rsidR="004400DF" w:rsidRPr="00D51084" w:rsidRDefault="004400DF" w:rsidP="000965A8">
            <w:pPr>
              <w:pStyle w:val="a6"/>
              <w:tabs>
                <w:tab w:val="num" w:pos="91"/>
                <w:tab w:val="num" w:pos="1134"/>
              </w:tabs>
              <w:spacing w:after="0"/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7.5. Оператор связи не несет ответственность за не предоставление Услуг Абоненту и понесенные при этом Абонентом убытки в случае повреждения оборудования Оператора и (или) сети Оператора в результате противоправных действий Абонента и (или) третьих лиц.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Обстоятельства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непреодолимой силы</w:t>
            </w: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8.1. Стороны освобождаются от ответственности за частичное или полное неисполнение обязательств по настоящему Договору, если оно вызвано обстоятельствами непреодолимой силы, а именно: стихийными бедствиями (землетрясения, наводнения и т.п.), пожарами, обстоятельствами общественной жизни (военные действия, крупномасштабные забастовки, эпидемии, аварии на </w:t>
            </w:r>
            <w:proofErr w:type="spellStart"/>
            <w:r w:rsidRPr="00D51084">
              <w:rPr>
                <w:sz w:val="10"/>
                <w:szCs w:val="10"/>
              </w:rPr>
              <w:t>энергоснабжающих</w:t>
            </w:r>
            <w:proofErr w:type="spellEnd"/>
            <w:r w:rsidRPr="00D51084">
              <w:rPr>
                <w:sz w:val="10"/>
                <w:szCs w:val="10"/>
              </w:rPr>
              <w:t xml:space="preserve"> предприятиях, инженерных сетях и коммуникациях, действием нормативных актов органов государственной власти и местного самоуправления, препятствующие исполнению обязательств по настоящему Договору и т.д.). </w:t>
            </w: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8.2. О наступлении, характере и прекращении вышеуказанных обстоятельств, Стороны информируют друг друга в течение 5 (пяти) календарных дней с момента их наступления или прекращения. Оператор размещает соответствующее уведомление на сайте Оператора (</w:t>
            </w:r>
            <w:hyperlink r:id="rId13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sz w:val="10"/>
                <w:szCs w:val="10"/>
              </w:rPr>
              <w:t>), в случае невозможности такого размещения, уведомление осуществляется через средства массовой информации либо посредством направления заказного письма.</w:t>
            </w:r>
          </w:p>
          <w:p w:rsidR="00595121" w:rsidRPr="00D51084" w:rsidRDefault="00595121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B50AD9" w:rsidRPr="00D51084" w:rsidRDefault="00B50AD9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0965A8" w:rsidRPr="00D51084" w:rsidRDefault="000965A8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</w:p>
        </w:tc>
        <w:tc>
          <w:tcPr>
            <w:tcW w:w="3924" w:type="dxa"/>
          </w:tcPr>
          <w:p w:rsidR="000965A8" w:rsidRPr="00D51084" w:rsidRDefault="000965A8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Разрешение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споров</w:t>
            </w:r>
          </w:p>
          <w:p w:rsidR="000965A8" w:rsidRPr="00D51084" w:rsidRDefault="000965A8" w:rsidP="009674A0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right="142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9.1. Спорные вопросы, возникающие при исполнении настоящего Договора, решаются путём проведения переговоров или направления Сторонами претензий в письменной форме.</w:t>
            </w:r>
          </w:p>
          <w:p w:rsidR="004400DF" w:rsidRPr="00D51084" w:rsidRDefault="000965A8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</w:t>
            </w:r>
            <w:r w:rsidR="004400DF" w:rsidRPr="00D51084">
              <w:rPr>
                <w:sz w:val="10"/>
                <w:szCs w:val="10"/>
              </w:rPr>
              <w:t xml:space="preserve">.2. В случае неисполнения или ненадлежащего исполнения Оператором связи своих обязательств, к  претензии прилагаются копия Договора, а также иные необходимые для рассмотрения претензии документы,  вытекающих из Договора. Абонент до обращения в суд предъявляет Оператору связи претензию с указанием сведений о неисполнении или ненадлежащем исполнении Оператором связи обязательств по Договору </w:t>
            </w:r>
            <w:proofErr w:type="gramStart"/>
            <w:r w:rsidR="004400DF" w:rsidRPr="00D51084">
              <w:rPr>
                <w:sz w:val="10"/>
                <w:szCs w:val="10"/>
              </w:rPr>
              <w:t>в  которых</w:t>
            </w:r>
            <w:proofErr w:type="gramEnd"/>
            <w:r w:rsidR="004400DF" w:rsidRPr="00D51084">
              <w:rPr>
                <w:sz w:val="10"/>
                <w:szCs w:val="10"/>
              </w:rPr>
              <w:t xml:space="preserve">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9.3. Срок рас</w:t>
            </w:r>
            <w:r w:rsidR="007F5C09" w:rsidRPr="00D51084">
              <w:rPr>
                <w:sz w:val="10"/>
                <w:szCs w:val="10"/>
              </w:rPr>
              <w:t>смотрения претензии – не более 3</w:t>
            </w:r>
            <w:r w:rsidRPr="00D51084">
              <w:rPr>
                <w:sz w:val="10"/>
                <w:szCs w:val="10"/>
              </w:rPr>
              <w:t xml:space="preserve">0- </w:t>
            </w:r>
            <w:proofErr w:type="spellStart"/>
            <w:r w:rsidRPr="00D51084">
              <w:rPr>
                <w:sz w:val="10"/>
                <w:szCs w:val="10"/>
              </w:rPr>
              <w:t>ти</w:t>
            </w:r>
            <w:proofErr w:type="spellEnd"/>
            <w:r w:rsidRPr="00D51084">
              <w:rPr>
                <w:sz w:val="10"/>
                <w:szCs w:val="10"/>
              </w:rPr>
              <w:t xml:space="preserve"> дней с даты ее регистрации. О результатах рассмотрения претензии Оператор связи должен сообщить в письменной форме Абоненту. Отказ в удовлетворении претензии должен быть мотивирован.</w:t>
            </w:r>
          </w:p>
          <w:p w:rsidR="004400DF" w:rsidRPr="00D51084" w:rsidRDefault="004400DF" w:rsidP="009674A0">
            <w:pPr>
              <w:tabs>
                <w:tab w:val="num" w:pos="94"/>
                <w:tab w:val="num" w:pos="1080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9.4. </w:t>
            </w:r>
            <w:r w:rsidR="004930D9" w:rsidRPr="007A0641">
              <w:rPr>
                <w:sz w:val="10"/>
                <w:szCs w:val="10"/>
              </w:rPr>
              <w:t>Абонент вправе обратиться в суд в любое время по правилам подсудности, установленными действующим законодательством.</w:t>
            </w:r>
          </w:p>
          <w:p w:rsidR="009674A0" w:rsidRPr="00D51084" w:rsidRDefault="009674A0" w:rsidP="009674A0">
            <w:pPr>
              <w:tabs>
                <w:tab w:val="num" w:pos="94"/>
                <w:tab w:val="num" w:pos="1080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9.5. </w:t>
            </w:r>
            <w:r w:rsidR="007F5C09" w:rsidRPr="007A0641">
              <w:rPr>
                <w:sz w:val="10"/>
                <w:szCs w:val="10"/>
              </w:rPr>
              <w:t>З</w:t>
            </w:r>
            <w:r w:rsidRPr="007A0641">
              <w:rPr>
                <w:sz w:val="10"/>
                <w:szCs w:val="10"/>
              </w:rPr>
              <w:t>аявления о выдаче судебного</w:t>
            </w:r>
            <w:r w:rsidRPr="00D51084">
              <w:rPr>
                <w:color w:val="000000" w:themeColor="text1"/>
                <w:sz w:val="10"/>
                <w:szCs w:val="10"/>
              </w:rPr>
              <w:t xml:space="preserve"> приказа Оператора к Абоненту </w:t>
            </w:r>
            <w:r w:rsidR="007F5C09" w:rsidRPr="00D51084">
              <w:rPr>
                <w:color w:val="000000" w:themeColor="text1"/>
                <w:sz w:val="10"/>
                <w:szCs w:val="10"/>
              </w:rPr>
              <w:t xml:space="preserve">могут </w:t>
            </w:r>
            <w:r w:rsidRPr="00D51084">
              <w:rPr>
                <w:color w:val="000000" w:themeColor="text1"/>
                <w:sz w:val="10"/>
                <w:szCs w:val="10"/>
              </w:rPr>
              <w:t>предъявляются по месту нахождения Оператора</w:t>
            </w:r>
            <w:r w:rsidR="007F5C09" w:rsidRPr="00D51084">
              <w:rPr>
                <w:color w:val="000000" w:themeColor="text1"/>
                <w:sz w:val="10"/>
                <w:szCs w:val="10"/>
              </w:rPr>
              <w:t xml:space="preserve"> или месту жительства Абонента.</w:t>
            </w:r>
          </w:p>
          <w:p w:rsidR="004400DF" w:rsidRPr="00D51084" w:rsidRDefault="004400DF" w:rsidP="009674A0">
            <w:pPr>
              <w:numPr>
                <w:ilvl w:val="0"/>
                <w:numId w:val="1"/>
              </w:numPr>
              <w:tabs>
                <w:tab w:val="num" w:pos="94"/>
              </w:tabs>
              <w:ind w:left="88" w:right="142" w:firstLine="6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Срок </w:t>
            </w:r>
            <w:r w:rsidRPr="00D51084">
              <w:rPr>
                <w:b/>
                <w:bCs/>
                <w:sz w:val="10"/>
                <w:szCs w:val="10"/>
              </w:rPr>
              <w:t>действия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Договора, основания его прекращения, прочие условия</w:t>
            </w:r>
          </w:p>
          <w:p w:rsidR="00207CF0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10.1 Настоящий Договор заключается на неопределенный срок и вступает в силу в день подписания Заказа, являющегося неотъемлемой частью нас</w:t>
            </w:r>
            <w:bookmarkStart w:id="2" w:name="_Ref160346203"/>
            <w:r w:rsidR="00B45937" w:rsidRPr="00D51084">
              <w:rPr>
                <w:sz w:val="10"/>
                <w:szCs w:val="10"/>
              </w:rPr>
              <w:t>тоящего Договора</w:t>
            </w:r>
            <w:r w:rsidRPr="00D51084">
              <w:rPr>
                <w:sz w:val="10"/>
                <w:szCs w:val="10"/>
              </w:rPr>
              <w:t>.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10.2. 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      </w:r>
            <w:bookmarkEnd w:id="2"/>
            <w:r w:rsidRPr="00D51084">
              <w:rPr>
                <w:sz w:val="10"/>
                <w:szCs w:val="10"/>
              </w:rPr>
              <w:t>.</w:t>
            </w:r>
          </w:p>
          <w:p w:rsidR="00207CF0" w:rsidRPr="00D51084" w:rsidRDefault="00207CF0" w:rsidP="00D51084">
            <w:pPr>
              <w:pStyle w:val="af3"/>
              <w:ind w:left="130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10.2.1.В случае если абонент уведомляет о расторжении договора </w:t>
            </w:r>
            <w:proofErr w:type="gramStart"/>
            <w:r w:rsidRPr="00D51084">
              <w:rPr>
                <w:sz w:val="10"/>
                <w:szCs w:val="10"/>
              </w:rPr>
              <w:t>ранее  чем</w:t>
            </w:r>
            <w:proofErr w:type="gramEnd"/>
            <w:r w:rsidRPr="00D51084">
              <w:rPr>
                <w:sz w:val="10"/>
                <w:szCs w:val="10"/>
              </w:rPr>
              <w:t xml:space="preserve"> 12 месяцев со дня заключения договора (фактического пользования услугой), то Абонент на основании выставленного Оператором счета оплачивает Оператору денежную сумм</w:t>
            </w:r>
            <w:r w:rsidR="007F5C09" w:rsidRPr="00D51084">
              <w:rPr>
                <w:sz w:val="10"/>
                <w:szCs w:val="10"/>
              </w:rPr>
              <w:t>у , равную произведению ежемесячных  платежей</w:t>
            </w:r>
            <w:r w:rsidRPr="00D51084">
              <w:rPr>
                <w:sz w:val="10"/>
                <w:szCs w:val="10"/>
              </w:rPr>
              <w:t xml:space="preserve"> на количество месяцев минимального срока пользования услугой за вычетом суммы поступивших на расчетный счет Оператора </w:t>
            </w:r>
            <w:r w:rsidR="00145CAA" w:rsidRPr="00D51084">
              <w:rPr>
                <w:sz w:val="10"/>
                <w:szCs w:val="10"/>
              </w:rPr>
              <w:t>ежемесяч</w:t>
            </w:r>
            <w:r w:rsidR="007F5C09" w:rsidRPr="00D51084">
              <w:rPr>
                <w:sz w:val="10"/>
                <w:szCs w:val="10"/>
              </w:rPr>
              <w:t>ных</w:t>
            </w:r>
            <w:r w:rsidRPr="00D51084">
              <w:rPr>
                <w:sz w:val="10"/>
                <w:szCs w:val="10"/>
              </w:rPr>
              <w:t xml:space="preserve"> платежей за оказанные Услуги. Указанный счет подлежит оплате абонентом в течение 7 (семи) дней с даты его выставления. Данный платеж не является санкцией за отказ от услуги в период минимального срока пользования Услугой, а представляет собой согласованную стоимость подключения к услуге.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10.3. По инициативе Оператора Договор может быть расторгнут в одностороннем порядке в случае </w:t>
            </w:r>
            <w:proofErr w:type="spellStart"/>
            <w:r w:rsidRPr="00D51084">
              <w:rPr>
                <w:sz w:val="10"/>
                <w:szCs w:val="10"/>
              </w:rPr>
              <w:t>неустранения</w:t>
            </w:r>
            <w:proofErr w:type="spellEnd"/>
            <w:r w:rsidRPr="00D51084">
              <w:rPr>
                <w:sz w:val="10"/>
                <w:szCs w:val="10"/>
              </w:rPr>
              <w:t xml:space="preserve"> Абонентом нарушения условий Договора и </w:t>
            </w:r>
            <w:proofErr w:type="gramStart"/>
            <w:r w:rsidRPr="00D51084">
              <w:rPr>
                <w:sz w:val="10"/>
                <w:szCs w:val="10"/>
              </w:rPr>
              <w:t>( или</w:t>
            </w:r>
            <w:proofErr w:type="gramEnd"/>
            <w:r w:rsidRPr="00D51084">
              <w:rPr>
                <w:sz w:val="10"/>
                <w:szCs w:val="10"/>
              </w:rPr>
              <w:t xml:space="preserve"> ) требований действующего законодательства, в том числе сроков оплаты оказанных услуг, в течении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нарушения. </w:t>
            </w:r>
          </w:p>
          <w:p w:rsidR="004400DF" w:rsidRPr="00D51084" w:rsidRDefault="004400DF" w:rsidP="009674A0">
            <w:pPr>
              <w:tabs>
                <w:tab w:val="num" w:pos="94"/>
              </w:tabs>
              <w:suppressAutoHyphens/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10.4. В ходе исполнения настоящего Договора, Оператор связи гарантирует защиту сведений об абоненте (</w:t>
            </w:r>
            <w:r w:rsidRPr="00D51084">
              <w:rPr>
                <w:rFonts w:eastAsia="Calibri"/>
                <w:sz w:val="10"/>
                <w:szCs w:val="10"/>
                <w:lang w:eastAsia="en-US"/>
              </w:rPr>
              <w:t xml:space="preserve">фамилия, имя, отчество или псевдоним абонента-гражданина,  а также адрес абонента или адрес установки оконечного оборудования, абонентские номера и другие данные, позволяющие идентифицировать абонента или его оконечное оборудование, сведения баз данных систем расчета за оказанные услуги связи, в том числе о соединениях, трафике и платежах абонента) </w:t>
            </w:r>
            <w:r w:rsidRPr="00D51084">
              <w:rPr>
                <w:sz w:val="10"/>
                <w:szCs w:val="10"/>
              </w:rPr>
              <w:t>в соответствии с ФЗ №126 «О связи», ФЗ №152 «О персональных данных», ставших известным ему в силу исполнения договора об оказании услуг.</w:t>
            </w:r>
          </w:p>
          <w:p w:rsidR="004400DF" w:rsidRPr="00D51084" w:rsidRDefault="004400DF" w:rsidP="009674A0">
            <w:pPr>
              <w:tabs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10.5. При подписании настоящего договора абонент выражает свое согласие с Правилами ЗАО  «АЦТ», опубликованными на сайте Оператора (</w:t>
            </w:r>
            <w:hyperlink r:id="rId14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telplus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ru</w:t>
              </w:r>
            </w:hyperlink>
            <w:r w:rsidRPr="00D51084">
              <w:rPr>
                <w:sz w:val="10"/>
                <w:szCs w:val="10"/>
              </w:rPr>
              <w:t xml:space="preserve">). Данные Правила ЗАО «АЦТ» действует на момент заключения Договора с Абонентом. В дальнейшем Оператор оставляет за собой право изменять содержание данных Правил ЗАО «АЦТ без уведомления Абонента. Действующие правила находится на сайте Оператора </w:t>
            </w:r>
            <w:hyperlink r:id="rId15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telpus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ru</w:t>
              </w:r>
            </w:hyperlink>
            <w:r w:rsidRPr="00D51084">
              <w:rPr>
                <w:sz w:val="10"/>
                <w:szCs w:val="10"/>
              </w:rPr>
              <w:t xml:space="preserve"> и в местах  работы с Абонентами.</w:t>
            </w:r>
          </w:p>
          <w:p w:rsidR="004400DF" w:rsidRPr="00D51084" w:rsidRDefault="004400DF" w:rsidP="009674A0">
            <w:pPr>
              <w:tabs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10.6. На период действия Договора, а также на период до истечения срока исковой давности по обязательствам, вытекающим из Договора, Абонент   добровольно выражает свое согласие на обработку Оператором и на передачу третьим лицам для обработки следующих персональных данных об Абоненте:  фамилия, имя, отчество, паспортные данные, адрес места жительства и адрес места установки оконечного оборудования, абонентского номера, иные сведения, позволяющие идентифицировать Абонента или его оконечное оборудование, сведения о соединениях, трафике, начисленных, уплаченных платежах за услуги связи, задолженности за полученные услуги связи. 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Под обработкой персональных данных следует понимать действия (операции) с персональными данными, включая сбор, систематизацию, </w:t>
            </w:r>
            <w:proofErr w:type="gramStart"/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накопление,   </w:t>
            </w:r>
            <w:proofErr w:type="gramEnd"/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Абонент выражает свое согласие на обработку его персональных данных Оператором и третьим лицом в целях исполнения Договора, в том числе для осуществления третьими лицами абонентского и сервисного обслуживания.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10.7. В случае отзыва Абонентом своего согласия на обработку его персональных данных, предоставленного в соответствии с п. 10.6  настоящего Договора, которое Абонент осуществляет путем направления Оператору соответствующего письменного заявления, Оператор прекращает обработку персональных данных Абонента. При этом Абонент принимает во внимание, что в соответствии с действующим законодательством о защите персональных данных согласие Абонента на обработку персональных данных не требуется в случае, если обработка персональных данных осуществляется в целях исполнения Договора, одной из Сторон которых является сам Абонент, а также в случае, если обработка персональных данных выполняется для осуществления операторами электросвязи расчетов за оказанные услуги связи, а также для рассмотрения претензий Абонента.</w:t>
            </w:r>
          </w:p>
          <w:p w:rsidR="00F9560A" w:rsidRPr="00D51084" w:rsidRDefault="00F9560A" w:rsidP="009674A0">
            <w:pPr>
              <w:pStyle w:val="Default"/>
              <w:tabs>
                <w:tab w:val="num" w:pos="94"/>
              </w:tabs>
              <w:ind w:left="88" w:right="142" w:firstLine="6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10.8. Подписывая настоящий Договор Абонент дает безусловное согласие на размещение телекоммуникационного оборудования Оператора в местах общего пользования многоквартирного</w:t>
            </w:r>
            <w:r w:rsidR="008C6394"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 дома</w:t>
            </w: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 с целью оказания </w:t>
            </w:r>
            <w:r w:rsidR="002D6364" w:rsidRPr="00D51084">
              <w:rPr>
                <w:rFonts w:ascii="Times New Roman" w:hAnsi="Times New Roman" w:cs="Times New Roman"/>
                <w:sz w:val="10"/>
                <w:szCs w:val="10"/>
              </w:rPr>
              <w:t>услуг связи по адресу ме</w:t>
            </w:r>
            <w:r w:rsidR="000862E9" w:rsidRPr="00D51084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="002D6364" w:rsidRPr="00D51084">
              <w:rPr>
                <w:rFonts w:ascii="Times New Roman" w:hAnsi="Times New Roman" w:cs="Times New Roman"/>
                <w:sz w:val="10"/>
                <w:szCs w:val="10"/>
              </w:rPr>
              <w:t>та жительства Абонента.</w:t>
            </w:r>
          </w:p>
          <w:p w:rsidR="00B50AD9" w:rsidRPr="00D51084" w:rsidRDefault="00B50AD9" w:rsidP="00B50AD9">
            <w:pPr>
              <w:tabs>
                <w:tab w:val="num" w:pos="108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F37E4" w:rsidRPr="00D51084" w:rsidRDefault="00CF37E4" w:rsidP="00CD15AA">
      <w:pPr>
        <w:tabs>
          <w:tab w:val="num" w:pos="1080"/>
        </w:tabs>
        <w:jc w:val="both"/>
        <w:rPr>
          <w:rFonts w:ascii="Arial Narrow" w:hAnsi="Arial Narrow" w:cs="Arial"/>
          <w:sz w:val="12"/>
          <w:szCs w:val="12"/>
        </w:rPr>
      </w:pPr>
    </w:p>
    <w:sectPr w:rsidR="00CF37E4" w:rsidRPr="00D51084" w:rsidSect="009674A0">
      <w:type w:val="continuous"/>
      <w:pgSz w:w="11906" w:h="16838"/>
      <w:pgMar w:top="27" w:right="849" w:bottom="0" w:left="567" w:header="346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separator/>
      </w:r>
    </w:p>
  </w:endnote>
  <w:endnote w:type="continuationSeparator" w:id="0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6E" w:rsidRPr="00D51084" w:rsidRDefault="00DF291D" w:rsidP="00B67066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D51084">
      <w:rPr>
        <w:rStyle w:val="aa"/>
        <w:sz w:val="20"/>
        <w:szCs w:val="20"/>
      </w:rPr>
      <w:fldChar w:fldCharType="begin"/>
    </w:r>
    <w:r w:rsidR="00B11B08" w:rsidRPr="00D51084">
      <w:rPr>
        <w:rStyle w:val="aa"/>
        <w:sz w:val="20"/>
        <w:szCs w:val="20"/>
      </w:rPr>
      <w:instrText xml:space="preserve">PAGE  </w:instrText>
    </w:r>
    <w:r w:rsidRPr="00D51084">
      <w:rPr>
        <w:rStyle w:val="aa"/>
        <w:sz w:val="20"/>
        <w:szCs w:val="20"/>
      </w:rPr>
      <w:fldChar w:fldCharType="end"/>
    </w:r>
  </w:p>
  <w:p w:rsidR="00DA1B6E" w:rsidRPr="00D51084" w:rsidRDefault="00D7597B" w:rsidP="00900DFC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6E" w:rsidRPr="00D51084" w:rsidRDefault="00D7597B" w:rsidP="00B67066">
    <w:pPr>
      <w:pStyle w:val="a8"/>
      <w:framePr w:wrap="around" w:vAnchor="text" w:hAnchor="margin" w:xAlign="right" w:y="1"/>
      <w:ind w:right="360"/>
      <w:rPr>
        <w:rStyle w:val="aa"/>
        <w:sz w:val="15"/>
        <w:szCs w:val="15"/>
      </w:rPr>
    </w:pPr>
  </w:p>
  <w:p w:rsidR="00DA1B6E" w:rsidRPr="00D51084" w:rsidRDefault="00D7597B" w:rsidP="00B331EF">
    <w:pPr>
      <w:pBdr>
        <w:top w:val="single" w:sz="4" w:space="1" w:color="auto"/>
      </w:pBdr>
      <w:tabs>
        <w:tab w:val="left" w:pos="888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separator/>
      </w:r>
    </w:p>
  </w:footnote>
  <w:footnote w:type="continuationSeparator" w:id="0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12A6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3B83BA5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80A63BA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5415610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1F82C5D"/>
    <w:multiLevelType w:val="hybridMultilevel"/>
    <w:tmpl w:val="4BE85342"/>
    <w:lvl w:ilvl="0" w:tplc="10A4C27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540288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DE2517C"/>
    <w:multiLevelType w:val="hybridMultilevel"/>
    <w:tmpl w:val="8EA8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AD9"/>
    <w:rsid w:val="00061F34"/>
    <w:rsid w:val="00074C2B"/>
    <w:rsid w:val="000862E9"/>
    <w:rsid w:val="000965A8"/>
    <w:rsid w:val="000B5729"/>
    <w:rsid w:val="00104F96"/>
    <w:rsid w:val="00114BD4"/>
    <w:rsid w:val="0011648F"/>
    <w:rsid w:val="00144D2B"/>
    <w:rsid w:val="00145CAA"/>
    <w:rsid w:val="0015154A"/>
    <w:rsid w:val="00151BBD"/>
    <w:rsid w:val="00161604"/>
    <w:rsid w:val="00177DE2"/>
    <w:rsid w:val="0018476A"/>
    <w:rsid w:val="00207CF0"/>
    <w:rsid w:val="00233AAD"/>
    <w:rsid w:val="002A0B0B"/>
    <w:rsid w:val="002A35E4"/>
    <w:rsid w:val="002B20C7"/>
    <w:rsid w:val="002B7FF3"/>
    <w:rsid w:val="002C77CC"/>
    <w:rsid w:val="002D6364"/>
    <w:rsid w:val="002E3AA9"/>
    <w:rsid w:val="00303B1C"/>
    <w:rsid w:val="00364B67"/>
    <w:rsid w:val="00375CF2"/>
    <w:rsid w:val="00384BCD"/>
    <w:rsid w:val="003A6D2E"/>
    <w:rsid w:val="003B710B"/>
    <w:rsid w:val="003C15CC"/>
    <w:rsid w:val="003D3F53"/>
    <w:rsid w:val="003F5F7D"/>
    <w:rsid w:val="004026AF"/>
    <w:rsid w:val="004073CC"/>
    <w:rsid w:val="00410516"/>
    <w:rsid w:val="00434606"/>
    <w:rsid w:val="004400DF"/>
    <w:rsid w:val="00445827"/>
    <w:rsid w:val="00461068"/>
    <w:rsid w:val="00477F8A"/>
    <w:rsid w:val="004930D9"/>
    <w:rsid w:val="004A7F9A"/>
    <w:rsid w:val="004C00C3"/>
    <w:rsid w:val="004C5F64"/>
    <w:rsid w:val="004D7505"/>
    <w:rsid w:val="005139CB"/>
    <w:rsid w:val="00541F70"/>
    <w:rsid w:val="00567E35"/>
    <w:rsid w:val="00582610"/>
    <w:rsid w:val="00595121"/>
    <w:rsid w:val="005A0368"/>
    <w:rsid w:val="005D2C80"/>
    <w:rsid w:val="00602C4B"/>
    <w:rsid w:val="00626C4F"/>
    <w:rsid w:val="006377C2"/>
    <w:rsid w:val="00643683"/>
    <w:rsid w:val="00651EE6"/>
    <w:rsid w:val="0067628B"/>
    <w:rsid w:val="00690A4B"/>
    <w:rsid w:val="00692E87"/>
    <w:rsid w:val="006D16EB"/>
    <w:rsid w:val="006D6EF9"/>
    <w:rsid w:val="00713F6C"/>
    <w:rsid w:val="00722A88"/>
    <w:rsid w:val="00725AA1"/>
    <w:rsid w:val="00731D40"/>
    <w:rsid w:val="00762D44"/>
    <w:rsid w:val="00785BCB"/>
    <w:rsid w:val="007909D2"/>
    <w:rsid w:val="007A0641"/>
    <w:rsid w:val="007F5C09"/>
    <w:rsid w:val="00803EB1"/>
    <w:rsid w:val="00825232"/>
    <w:rsid w:val="008302D1"/>
    <w:rsid w:val="00855AF2"/>
    <w:rsid w:val="00856CB6"/>
    <w:rsid w:val="008764D2"/>
    <w:rsid w:val="008821C7"/>
    <w:rsid w:val="008865A5"/>
    <w:rsid w:val="0089747E"/>
    <w:rsid w:val="008A177F"/>
    <w:rsid w:val="008C0EDA"/>
    <w:rsid w:val="008C6394"/>
    <w:rsid w:val="008F2CA7"/>
    <w:rsid w:val="00901DDD"/>
    <w:rsid w:val="00903B5F"/>
    <w:rsid w:val="0092032A"/>
    <w:rsid w:val="00921B49"/>
    <w:rsid w:val="009674A0"/>
    <w:rsid w:val="00981012"/>
    <w:rsid w:val="0098635C"/>
    <w:rsid w:val="009B033D"/>
    <w:rsid w:val="009B4156"/>
    <w:rsid w:val="009D2F9F"/>
    <w:rsid w:val="009E446A"/>
    <w:rsid w:val="00A05E58"/>
    <w:rsid w:val="00A20DC8"/>
    <w:rsid w:val="00A2506B"/>
    <w:rsid w:val="00A369D3"/>
    <w:rsid w:val="00A45954"/>
    <w:rsid w:val="00A46014"/>
    <w:rsid w:val="00A91560"/>
    <w:rsid w:val="00A926B3"/>
    <w:rsid w:val="00A94743"/>
    <w:rsid w:val="00A94804"/>
    <w:rsid w:val="00AA78D2"/>
    <w:rsid w:val="00AE25E9"/>
    <w:rsid w:val="00B11B08"/>
    <w:rsid w:val="00B13E98"/>
    <w:rsid w:val="00B24438"/>
    <w:rsid w:val="00B24A7B"/>
    <w:rsid w:val="00B331EF"/>
    <w:rsid w:val="00B4068C"/>
    <w:rsid w:val="00B45937"/>
    <w:rsid w:val="00B50AD9"/>
    <w:rsid w:val="00B57BEC"/>
    <w:rsid w:val="00BB034D"/>
    <w:rsid w:val="00BC5294"/>
    <w:rsid w:val="00BD393C"/>
    <w:rsid w:val="00BD6175"/>
    <w:rsid w:val="00BE2CD9"/>
    <w:rsid w:val="00BF0239"/>
    <w:rsid w:val="00BF2EFB"/>
    <w:rsid w:val="00BF35D0"/>
    <w:rsid w:val="00C06F6D"/>
    <w:rsid w:val="00C219EC"/>
    <w:rsid w:val="00C23296"/>
    <w:rsid w:val="00C35036"/>
    <w:rsid w:val="00C469AE"/>
    <w:rsid w:val="00C53A27"/>
    <w:rsid w:val="00C626AA"/>
    <w:rsid w:val="00C871C8"/>
    <w:rsid w:val="00CB6974"/>
    <w:rsid w:val="00CC09D4"/>
    <w:rsid w:val="00CC70A2"/>
    <w:rsid w:val="00CD15AA"/>
    <w:rsid w:val="00CE611B"/>
    <w:rsid w:val="00CF37E4"/>
    <w:rsid w:val="00D1090B"/>
    <w:rsid w:val="00D119F0"/>
    <w:rsid w:val="00D426CE"/>
    <w:rsid w:val="00D51084"/>
    <w:rsid w:val="00D555C0"/>
    <w:rsid w:val="00D679F7"/>
    <w:rsid w:val="00D7597B"/>
    <w:rsid w:val="00D96D52"/>
    <w:rsid w:val="00DA12C1"/>
    <w:rsid w:val="00DC3570"/>
    <w:rsid w:val="00DE5FB8"/>
    <w:rsid w:val="00DF291D"/>
    <w:rsid w:val="00E0059E"/>
    <w:rsid w:val="00E062AF"/>
    <w:rsid w:val="00E20919"/>
    <w:rsid w:val="00E264D5"/>
    <w:rsid w:val="00E760E4"/>
    <w:rsid w:val="00E8034F"/>
    <w:rsid w:val="00E91C23"/>
    <w:rsid w:val="00EC0864"/>
    <w:rsid w:val="00EC0D23"/>
    <w:rsid w:val="00EC784F"/>
    <w:rsid w:val="00F10C65"/>
    <w:rsid w:val="00F22B20"/>
    <w:rsid w:val="00F64CB7"/>
    <w:rsid w:val="00F83470"/>
    <w:rsid w:val="00F9560A"/>
    <w:rsid w:val="00FB3FC1"/>
    <w:rsid w:val="00FC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2540DA8D-B85E-4AF1-8933-016D97C9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D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AD9"/>
    <w:rPr>
      <w:color w:val="0000FF"/>
      <w:u w:val="single"/>
    </w:rPr>
  </w:style>
  <w:style w:type="paragraph" w:styleId="a4">
    <w:name w:val="Body Text"/>
    <w:basedOn w:val="a"/>
    <w:link w:val="a5"/>
    <w:rsid w:val="00B50AD9"/>
    <w:pPr>
      <w:tabs>
        <w:tab w:val="left" w:pos="600"/>
      </w:tabs>
      <w:jc w:val="both"/>
    </w:pPr>
    <w:rPr>
      <w:kern w:val="20"/>
      <w:sz w:val="22"/>
      <w:szCs w:val="22"/>
    </w:rPr>
  </w:style>
  <w:style w:type="character" w:customStyle="1" w:styleId="a5">
    <w:name w:val="Основной текст Знак"/>
    <w:basedOn w:val="a0"/>
    <w:link w:val="a4"/>
    <w:rsid w:val="00B50AD9"/>
    <w:rPr>
      <w:rFonts w:ascii="Times New Roman" w:eastAsia="Times New Roman" w:hAnsi="Times New Roman" w:cs="Times New Roman"/>
      <w:kern w:val="20"/>
      <w:lang w:eastAsia="ru-RU"/>
    </w:rPr>
  </w:style>
  <w:style w:type="paragraph" w:styleId="a6">
    <w:name w:val="Body Text Indent"/>
    <w:basedOn w:val="a"/>
    <w:link w:val="a7"/>
    <w:rsid w:val="00B50A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50A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50AD9"/>
  </w:style>
  <w:style w:type="paragraph" w:styleId="ab">
    <w:name w:val="header"/>
    <w:basedOn w:val="a"/>
    <w:link w:val="ac"/>
    <w:rsid w:val="00B50A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0AD9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B5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951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33AA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3AA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BC5294"/>
    <w:pPr>
      <w:spacing w:before="100" w:beforeAutospacing="1" w:after="100" w:afterAutospacing="1"/>
    </w:pPr>
    <w:rPr>
      <w:rFonts w:eastAsiaTheme="minorHAnsi"/>
    </w:rPr>
  </w:style>
  <w:style w:type="character" w:styleId="af2">
    <w:name w:val="annotation reference"/>
    <w:basedOn w:val="a0"/>
    <w:uiPriority w:val="99"/>
    <w:semiHidden/>
    <w:unhideWhenUsed/>
    <w:rsid w:val="00D679F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679F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67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79F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79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803EB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elplu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elplu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pl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lpus.ru" TargetMode="External"/><Relationship Id="rId10" Type="http://schemas.openxmlformats.org/officeDocument/2006/relationships/hyperlink" Target="http://www.tel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plus.ru" TargetMode="External"/><Relationship Id="rId14" Type="http://schemas.openxmlformats.org/officeDocument/2006/relationships/hyperlink" Target="http://www.tel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telplus</Company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Анна Тутаринова</cp:lastModifiedBy>
  <cp:revision>3</cp:revision>
  <cp:lastPrinted>2021-12-27T11:40:00Z</cp:lastPrinted>
  <dcterms:created xsi:type="dcterms:W3CDTF">2023-04-18T11:03:00Z</dcterms:created>
  <dcterms:modified xsi:type="dcterms:W3CDTF">2024-08-12T07:27:00Z</dcterms:modified>
</cp:coreProperties>
</file>